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1D4ED8"/>
          <w:sz w:val="20"/>
          <w:szCs w:val="20"/>
        </w:rPr>
        <w:t xml:space="preserve">VIMS — Varilo Integrated Management System</w:t>
      </w:r>
    </w:p>
    <w:p>
      <w:pPr>
        <w:pStyle w:val="Heading1"/>
      </w:pPr>
      <w:r>
        <w:t xml:space="preserve">Umowa powierzenia przetwarzania danych osobowych</w:t>
      </w:r>
    </w:p>
    <w:p>
      <w:pPr>
        <w:pBdr>
          <w:bottom w:val="single" w:color="1D4ED8" w:sz="6" w:space="4"/>
        </w:pBdr>
        <w:spacing w:after="120"/>
      </w:pPr>
      <w:r>
        <w:rPr>
          <w:color w:val="555555"/>
          <w:sz w:val="20"/>
          <w:szCs w:val="20"/>
        </w:rPr>
        <w:t xml:space="preserve">Wersja: 1.0  |  Aktualizacja: 2026-09-26</w:t>
      </w:r>
    </w:p>
    <w:p>
      <w:pPr>
        <w:spacing w:after="200" w:before="200"/>
      </w:pPr>
      <w:r>
        <w:t xml:space="preserve">Wzór umowy powierzenia zawieranej na podstawie art. 28 RODO pomiędzy organizacją korzystającą z platformy VIMS (administratorem danych) a dostawcą platformy (podmiotem przetwarzającym). Dokument stanowi załącznik do umowy głównej i jest gotowy do podpisu.</w:t>
      </w:r>
    </w:p>
    <w:p>
      <w:pPr>
        <w:spacing w:after="240"/>
      </w:pPr>
      <w:r>
        <w:rPr>
          <w:color w:val="555555"/>
          <w:sz w:val="18"/>
          <w:szCs w:val="18"/>
        </w:rPr>
        <w:t xml:space="preserve">Vesta Usługi i Szkolenia Marcin Makowski, ul. Wrzosowa 33, 84-300 Lębork, Polska · NIP/VAT ID: 841-161-18-09 · kontakt@varilo.eu · v-ims.pl</w:t>
      </w:r>
    </w:p>
    <w:p>
      <w:pPr>
        <w:pStyle w:val="Heading2"/>
      </w:pPr>
      <w:r>
        <w:t xml:space="preserve">1. Strony i przedmiot umowy</w:t>
      </w:r>
    </w:p>
    <w:p>
      <w:pPr>
        <w:spacing w:after="120"/>
      </w:pPr>
      <w:r>
        <w:t xml:space="preserve">Podmiot przetwarzający: Vesta Usługi i Szkolenia Marcin Makowski, ul. Wrzosowa 33, 84-300 Lębork, Polska, NIP 841-161-18-09, adres kontaktowy do spraw ochrony danych: kontakt@varilo.eu.</w:t>
      </w:r>
    </w:p>
    <w:p>
      <w:pPr>
        <w:spacing w:after="120"/>
      </w:pPr>
      <w:r>
        <w:t xml:space="preserve">Administrator danych: organizacja korzystająca z platformy VIMS na podstawie umowy głównej, wskazana w treści tej umowy wraz z danymi rejestrowymi i adresem kontaktowym do spraw ochrony danych.</w:t>
      </w:r>
    </w:p>
    <w:p>
      <w:pPr>
        <w:spacing w:after="120"/>
      </w:pPr>
      <w:r>
        <w:t xml:space="preserve">Przedmiotem umowy jest powierzenie przetwarzania danych osobowych w zakresie niezbędnym do świadczenia usługi dostępu do platformy VIMS. Umowa zostaje zawarta na podstawie art. 28 ust. 3 RODO i obowiązuje przez czas trwania umowy głównej.</w:t>
      </w:r>
    </w:p>
    <w:p>
      <w:pPr>
        <w:pStyle w:val="Heading2"/>
      </w:pPr>
      <w:r>
        <w:t xml:space="preserve">2. Charakter, cel i czas przetwarzania</w:t>
      </w:r>
    </w:p>
    <w:p>
      <w:pPr>
        <w:spacing w:after="120"/>
      </w:pPr>
      <w:r>
        <w:t xml:space="preserve">Przetwarzanie odbywa się w formie zautomatyzowanej, w systemie informatycznym udostępnianym przez podmiot przetwarzający, i obejmuje takie operacje jak zbieranie, utrwalanie, przechowywanie, porządkowanie, modyfikowanie, przeglądanie, udostępnianie uprawnionym użytkownikom administratora, usuwanie oraz tworzenie kopii zapasowych.</w:t>
      </w:r>
    </w:p>
    <w:p>
      <w:pPr>
        <w:spacing w:after="120"/>
      </w:pPr>
      <w:r>
        <w:t xml:space="preserve">Celem przetwarzania jest umożliwienie administratorowi prowadzenia w systemie procesów z zakresu bezpieczeństwa pracy, ochrony środowiska, ochrony przeciwpożarowej, jakości i zgodności — w szczególności rejestrów zdarzeń, ocen ryzyka, ewidencji szkoleń i uprawnień, rejestru substancji chemicznych, kontroli i audytów oraz działań korygujących.</w:t>
      </w:r>
    </w:p>
    <w:p>
      <w:pPr>
        <w:spacing w:after="120"/>
      </w:pPr>
      <w:r>
        <w:t xml:space="preserve">Przetwarzanie trwa przez okres obowiązywania umowy głównej oraz przez okres niezbędny do zwrotu lub usunięcia danych po jej zakończeniu.</w:t>
      </w:r>
    </w:p>
    <w:p>
      <w:pPr>
        <w:pStyle w:val="Heading2"/>
      </w:pPr>
      <w:r>
        <w:t xml:space="preserve">3. Kategorie osób, których dane dotyczą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Pracownicy i osoby współpracujące z administratorem, posiadający konta użytkowników w systemie.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Pracownicy administratora objęci prowadzonymi w systemie rejestrami — ewidencją szkoleń i kwalifikacji, badań lekarskich, ocen ryzyka i przydziałów stanowiskowych.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Osoby uczestniczące w zdarzeniach wypadkowych i potencjalnie wypadkowych: poszkodowani, świadkowie, osoby prowadzące postępowanie.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Pracownicy podwykonawców i firm zewnętrznych dopuszczanych do prac na terenie administratora.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Osoby wskazane jako kontakty organizacyjne: przedstawiciele służb, kierownicy, osoby zatwierdzające zezwolenia i wnioski o zmianę.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 modelu obsługi wielu klientów przez firmę świadczącą usługi bezpieczeństwa pracy — również osoby, których dane dotyczą, po stronie klientów obsługiwanych przez administratora, o ile administrator zapewnił podstawę prawną ich przetwarzania.</w:t>
      </w:r>
    </w:p>
    <w:p>
      <w:pPr>
        <w:pStyle w:val="Heading2"/>
      </w:pPr>
      <w:r>
        <w:t xml:space="preserve">4. Rodzaje powierzonych danych osobowych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Dane identyfikacyjne i kontaktowe: imię i nazwisko, stanowisko, jednostka organizacyjna, służbowy adres e-mail i numer telefonu.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Dane zatrudnienia i kompetencji: przydział do stanowiska i strefy, zakres uprawnień, szkolenia, kwalifikacje, terminy ich odnowienia.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Dane dotyczące zdarzeń: opis okoliczności zdarzenia, rola osoby w zdarzeniu, ustalenia postępowania, załączniki w tym dokumentacja fotograficzna.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Dane związane z profilaktyczną opieką zdrowotną w zakresie prowadzonym przez administratora: rodzaj badania, data wykonania, data następnego badania, informacja o orzeczeniu o zdolności do pracy. Administrator zobowiązuje się nie wprowadzać do systemu danych o stanie zdrowia w zakresie szerszym niż wymagany przepisami prawa pracy.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Dane techniczne kont i logowań: identyfikator konta, adres e-mail, informacje o urządzeniach zaufanych, znaczniki czasu zdarzeń bezpieczeństwa.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Strony zgodnie ustalają, że administrator nie wprowadza do systemu danych szczególnych kategorii innych niż wskazane powyżej ani danych dotyczących wyroków skazujących, chyba że uzgodni to odrębnie na piśmie z podmiotem przetwarzającym.</w:t>
      </w:r>
    </w:p>
    <w:p>
      <w:pPr>
        <w:pStyle w:val="Heading2"/>
      </w:pPr>
      <w:r>
        <w:t xml:space="preserve">5. Obowiązki podmiotu przetwarzającego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Przetwarzanie danych wyłącznie na udokumentowane polecenie administratora, którym jest również konfiguracja i sposób korzystania z systemu przez administratora, oraz zgodnie z niniejszą umową.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Zapewnienie, że osoby upoważnione do przetwarzania danych zobowiązały się do zachowania poufności, również po zakończeniu współpracy.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Wdrożenie i utrzymywanie środków technicznych i organizacyjnych, o których mowa w art. 32 RODO, opisanych w punkcie 6 tej umowy.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Wspieranie administratora w realizacji żądań osób, których dane dotyczą, w tym niezwłoczne przekazywanie administratorowi wniosków skierowanych omyłkowo do podmiotu przetwarzającego.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Wspieranie administratora w wypełnianiu obowiązków z art. 32–36 RODO, w szczególności w zakresie oceny skutków dla ochrony danych i obsługi naruszeń.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Udostępnianie administratorowi informacji niezbędnych do wykazania zgodności oraz umożliwienie audytu na zasadach opisanych w punkcie 8.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Informowanie administratora, jeżeli w ocenie podmiotu przetwarzającego wydane polecenie narusza przepisy o ochronie danych osobowych.</w:t>
      </w:r>
    </w:p>
    <w:p>
      <w:pPr>
        <w:pStyle w:val="Heading2"/>
      </w:pPr>
      <w:r>
        <w:t xml:space="preserve">6. Środki techniczne i organizacyjne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Szyfrowanie transmisji danych między przeglądarką użytkownika a systemem.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Obowiązkowe uwierzytelnianie dwuetapowe kont: hasło oraz jednorazowy kod przesyłany na adres e-mail konta, z ograniczoną ważnością i limitem prób.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Przechowywanie haseł i jednorazowych kodów wyłącznie w postaci skrótów kryptograficznych.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Izolacja danych poszczególnych organizacji wymuszana na poziomie bazy danych, na poziomie pojedynczego wiersza, niezależnie od filtrów interfejsu.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Kontrola uprawnień oparta na rolach, z zatwierdzaniem członkostwa w organizacji przez właściciela lub administratora organizacji oraz przechowywaniem uprawnień poza profilem użytkownika.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Ochrona załączników, w tym dokumentacji fotograficznej zdarzeń, przed dostępem z pominięciem kontroli uprawnień — pliki nie są dostępne pod publicznym adresem.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Rejestr zdarzeń bezpieczeństwa obejmujący logowania, zmiany uprawnień, eksporty danych i odsłonięcia danych szczególnie chronionych.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Automatyczne kopie zapasowe warstwy danych wykonywane w infrastrukturze dostawcy chmurowego oraz procedura odtworzenia środowiska z kopii.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Przetwarzanie danych w infrastrukturze zlokalizowanej na terenie Europejskiego Obszaru Gospodarczego.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Rozdzielenie uprawnień administracyjnych platformy od uprawnień w obrębie organizacji klienta oraz zasada minimalnego dostępu dla personelu wsparcia.</w:t>
      </w:r>
    </w:p>
    <w:p>
      <w:pPr>
        <w:pStyle w:val="Heading2"/>
      </w:pPr>
      <w:r>
        <w:t xml:space="preserve">7. Dalsze powierzenie (podprocesorzy)</w:t>
      </w:r>
    </w:p>
    <w:p>
      <w:pPr>
        <w:spacing w:after="120"/>
      </w:pPr>
      <w:r>
        <w:t xml:space="preserve">Administrator udziela podmiotowi przetwarzającemu ogólnej zgody na korzystanie z podprocesorów niezbędnych do świadczenia usługi, pod warunkiem nałożenia na nich obowiązków ochrony danych nie mniej rygorystycznych niż wynikające z tej umowy.</w:t>
      </w:r>
    </w:p>
    <w:p>
      <w:pPr>
        <w:spacing w:after="120"/>
      </w:pPr>
      <w:r>
        <w:t xml:space="preserve">W dniu zawarcia umowy podmiot przetwarzający korzysta z następujących kategorii podprocesorów: dostawca infrastruktury chmurowej i zarządzanej bazy danych wraz z przestrzenią na załączniki, dostawca usług wysyłki wiadomości transakcyjnych i powiadomień e-mail, dostawca hostingu i dostarczania warstwy aplikacyjnej.</w:t>
      </w:r>
    </w:p>
    <w:p>
      <w:pPr>
        <w:spacing w:after="120"/>
      </w:pPr>
      <w:r>
        <w:t xml:space="preserve">O planowanej zmianie lub dodaniu podprocesora podmiot przetwarzający informuje administratora z wyprzedzeniem co najmniej trzydziestu dni. Administrator może wnieść uzasadniony sprzeciw; jeżeli strony nie uzgodnią rozwiązania, administrator może wypowiedzieć umowę główną w trybie w niej przewidzianym.</w:t>
      </w:r>
    </w:p>
    <w:p>
      <w:pPr>
        <w:pStyle w:val="Heading2"/>
      </w:pPr>
      <w:r>
        <w:t xml:space="preserve">8. Audyt i wykazanie zgodności</w:t>
      </w:r>
    </w:p>
    <w:p>
      <w:pPr>
        <w:spacing w:after="120"/>
      </w:pPr>
      <w:r>
        <w:t xml:space="preserve">Administrator ma prawo weryfikować sposób wykonywania umowy, w tym przeprowadzić audyt, po uprzednim zawiadomieniu z wyprzedzeniem co najmniej czternastu dni, w godzinach pracy i w sposób nieprzerywający ciągłości usługi.</w:t>
      </w:r>
    </w:p>
    <w:p>
      <w:pPr>
        <w:spacing w:after="120"/>
      </w:pPr>
      <w:r>
        <w:t xml:space="preserve">Audyt nie może obejmować dostępu do danych innych organizacji korzystających z platformy ani do informacji stanowiących tajemnicę przedsiębiorstwa podmiotu przetwarzającego lub jego podprocesorów.</w:t>
      </w:r>
    </w:p>
    <w:p>
      <w:pPr>
        <w:spacing w:after="120"/>
      </w:pPr>
      <w:r>
        <w:t xml:space="preserve">Podmiot przetwarzający może wykazać zgodność przez udostępnienie opisu środków bezpieczeństwa, odpowiedzi na kwestionariusz bezpieczeństwa oraz dokumentacji uzyskanej od podprocesorów infrastruktury.</w:t>
      </w:r>
    </w:p>
    <w:p>
      <w:pPr>
        <w:pStyle w:val="Heading2"/>
      </w:pPr>
      <w:r>
        <w:t xml:space="preserve">9. Naruszenia ochrony danych</w:t>
      </w:r>
    </w:p>
    <w:p>
      <w:pPr>
        <w:spacing w:after="120"/>
      </w:pPr>
      <w:r>
        <w:t xml:space="preserve">Podmiot przetwarzający zgłasza administratorowi każde naruszenie ochrony powierzonych danych osobowych bez zbędnej zwłoki, nie później niż w ciągu czterdziestu ośmiu godzin od jego stwierdzenia, na adres kontaktowy administratora wskazany w umowie.</w:t>
      </w:r>
    </w:p>
    <w:p>
      <w:pPr>
        <w:spacing w:after="120"/>
      </w:pPr>
      <w:r>
        <w:t xml:space="preserve">Zgłoszenie zawiera dostępne informacje o charakterze naruszenia, kategoriach i przybliżonej liczbie osób oraz rekordów, prawdopodobnych konsekwencjach i podjętych lub proponowanych środkach zaradczych. Informacje niedostępne w chwili zgłoszenia przekazywane są sukcesywnie.</w:t>
      </w:r>
    </w:p>
    <w:p>
      <w:pPr>
        <w:spacing w:after="120"/>
      </w:pPr>
      <w:r>
        <w:t xml:space="preserve">Zgłoszenia do organu nadzorczego oraz zawiadomienia osób, których dane dotyczą, dokonuje administrator. Podmiot przetwarzający udziela mu w tym zakresie niezbędnej pomocy.</w:t>
      </w:r>
    </w:p>
    <w:p>
      <w:pPr>
        <w:pStyle w:val="Heading2"/>
      </w:pPr>
      <w:r>
        <w:t xml:space="preserve">10. Zwrot i usunięcie danych po zakończeniu umowy</w:t>
      </w:r>
    </w:p>
    <w:p>
      <w:pPr>
        <w:spacing w:after="120"/>
      </w:pPr>
      <w:r>
        <w:t xml:space="preserve">Administrator może w dowolnym momencie trwania umowy, a także przed jej zakończeniem, samodzielnie pobrać z systemu archiwum danych swojej organizacji. Uprawnienie to przysługuje właścicielowi oraz administratorowi organizacji, a wykonanie eksportu jest odnotowywane w rejestrze zdarzeń.</w:t>
      </w:r>
    </w:p>
    <w:p>
      <w:pPr>
        <w:spacing w:after="120"/>
      </w:pPr>
      <w:r>
        <w:t xml:space="preserve">Po zakończeniu umowy głównej podmiot przetwarzający usuwa powierzone dane w terminie trzydziestu dni od zakończenia umowy albo zwraca je administratorowi, zgodnie z jego pisemnym żądaniem złożonym najpóźniej w dniu zakończenia umowy.</w:t>
      </w:r>
    </w:p>
    <w:p>
      <w:pPr>
        <w:spacing w:after="120"/>
      </w:pPr>
      <w:r>
        <w:t xml:space="preserve">Usunięcie obejmuje również kopie danych, z zastrzeżeniem kopii zapasowych, które są usuwane wraz z wygaśnięciem ich cyklu retencji, oraz danych, których przechowywanie jest wymagane przepisami prawa.</w:t>
      </w:r>
    </w:p>
    <w:p>
      <w:pPr>
        <w:pStyle w:val="Heading2"/>
      </w:pPr>
      <w:r>
        <w:t xml:space="preserve">11. Odpowiedzialność i postanowienia końcowe</w:t>
      </w:r>
    </w:p>
    <w:p>
      <w:pPr>
        <w:spacing w:after="120"/>
      </w:pPr>
      <w:r>
        <w:t xml:space="preserve">Każda ze stron odpowiada za skutki naruszenia przepisów o ochronie danych osobowych w zakresie własnych obowiązków. Administrator odpowiada w szczególności za podstawę prawną przetwarzania, zakres wprowadzanych do systemu danych oraz realizację obowiązku informacyjnego wobec osób, których dane dotyczą.</w:t>
      </w:r>
    </w:p>
    <w:p>
      <w:pPr>
        <w:spacing w:after="120"/>
      </w:pPr>
      <w:r>
        <w:t xml:space="preserve">Zmiany umowy wymagają formy pisemnej lub równorzędnej formy elektronicznej z podpisem kwalifikowanym, z wyjątkiem aktualizacji wykazu podprocesorów dokonywanej w trybie opisanym w punkcie 7.</w:t>
      </w:r>
    </w:p>
    <w:p>
      <w:pPr>
        <w:spacing w:after="120"/>
      </w:pPr>
      <w:r>
        <w:t xml:space="preserve">W sprawach nieuregulowanych stosuje się RODO, przepisy prawa polskiego oraz postanowienia umowy głównej i Regulaminu platformy VIMS.</w:t>
      </w:r>
    </w:p>
    <w:p>
      <w:pPr>
        <w:spacing w:after="120"/>
      </w:pPr>
      <w:r>
        <w:t xml:space="preserve">Wzór w wersji 1.0 obowiązuje od 2026-09-26 i jest publikowany pod adresem v-ims.pl/umowa-powierzenia-dpa.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Vesta Usługi i Szkolenia Marcin Makowski ·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Umowa powierzenia (DPA) · v-ims.pl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Arial" w:cs="Arial" w:eastAsia="Arial" w:hAnsi="Arial"/>
      <w:b/>
      <w:bCs/>
      <w:color w:val="0B2545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0B2545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2026-09-26T18:13:03.468Z</dcterms:created>
  <dcterms:modified xsi:type="dcterms:W3CDTF">2026-09-26T18:13:03.468Z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